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75697" w14:textId="77777777" w:rsidR="00880E16" w:rsidRDefault="007141EB" w:rsidP="00EB3BB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880E16">
        <w:rPr>
          <w:rFonts w:ascii="Times New Roman" w:hAnsi="Times New Roman" w:cs="Times New Roman"/>
          <w:color w:val="auto"/>
          <w:sz w:val="28"/>
          <w:szCs w:val="28"/>
        </w:rPr>
        <w:t>Non è colpa di Garibaldi. Né di di Cavour, n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>é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di tutti i protagonisti del Risor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>gimento,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ch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da ogni parte d’Italia scelsero 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non senza dubbi e divisioni, 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per l’unificazione nazionale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le bandiere del Regno Sardo. Il diva</w:t>
      </w:r>
      <w:r w:rsidR="007C1848" w:rsidRPr="00880E16">
        <w:rPr>
          <w:rFonts w:ascii="Times New Roman" w:hAnsi="Times New Roman" w:cs="Times New Roman"/>
          <w:color w:val="auto"/>
          <w:sz w:val="28"/>
          <w:szCs w:val="28"/>
        </w:rPr>
        <w:t>r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io, crescente, tra Nord e Sud ha ca</w:t>
      </w:r>
      <w:r w:rsidR="007C1848" w:rsidRPr="00880E16">
        <w:rPr>
          <w:rFonts w:ascii="Times New Roman" w:hAnsi="Times New Roman" w:cs="Times New Roman"/>
          <w:color w:val="auto"/>
          <w:sz w:val="28"/>
          <w:szCs w:val="28"/>
        </w:rPr>
        <w:t>use che affondano nella storia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e</w:t>
      </w:r>
      <w:r w:rsidR="007C1848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nella politica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di un secolo e mezzo di Stato unitario, ma immaginare ch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e sia legato alla spedizione dei Mille è ridicolo. Eppu</w:t>
      </w:r>
      <w:r w:rsidR="007C1848" w:rsidRPr="00880E16">
        <w:rPr>
          <w:rFonts w:ascii="Times New Roman" w:hAnsi="Times New Roman" w:cs="Times New Roman"/>
          <w:color w:val="auto"/>
          <w:sz w:val="28"/>
          <w:szCs w:val="28"/>
        </w:rPr>
        <w:t>r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e, la favola cosiddetta “neoborbonica” di un R</w:t>
      </w:r>
      <w:r w:rsidR="007C1848" w:rsidRPr="00880E16"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gno delle due Sicilie prospero</w:t>
      </w:r>
      <w:r w:rsidR="00880E1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ricco e felice</w:t>
      </w:r>
      <w:r w:rsidR="007C1848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fino a quel momento</w:t>
      </w:r>
      <w:r w:rsidR="007C1848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(“il primo stato socialista, il primo stato illuminato del mondo” secondo la defin</w:t>
      </w:r>
      <w:r w:rsidR="00E14D96" w:rsidRPr="00880E16">
        <w:rPr>
          <w:rFonts w:ascii="Times New Roman" w:hAnsi="Times New Roman" w:cs="Times New Roman"/>
          <w:color w:val="auto"/>
          <w:sz w:val="28"/>
          <w:szCs w:val="28"/>
        </w:rPr>
        <w:t>i</w:t>
      </w:r>
      <w:r w:rsidR="007C1848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zione di Antonio Ciano, uno dei più accaniti zelatori), prima cioè di essere devastato 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>d</w:t>
      </w:r>
      <w:r w:rsidR="007C1848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ai feroci “invasori” e ridotto a una colonia disperata, continua ad avere una 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>certa</w:t>
      </w:r>
      <w:r w:rsidR="007C1848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presa su una parte dell’opinione pubblica: soprattutto meridionale, spiega Ippolito Armino in </w:t>
      </w:r>
      <w:r w:rsidR="007C1848" w:rsidRPr="00880E16">
        <w:rPr>
          <w:rFonts w:ascii="Times New Roman" w:hAnsi="Times New Roman" w:cs="Times New Roman"/>
          <w:i/>
          <w:color w:val="auto"/>
          <w:sz w:val="28"/>
          <w:szCs w:val="28"/>
        </w:rPr>
        <w:t>Il fantastico regno delle Due Sicilie. Breve catalogo delle imposture neoborboniche</w:t>
      </w:r>
      <w:r w:rsidR="00EB3BBB" w:rsidRPr="00880E16">
        <w:rPr>
          <w:rFonts w:ascii="Times New Roman" w:hAnsi="Times New Roman" w:cs="Times New Roman"/>
          <w:i/>
          <w:color w:val="auto"/>
          <w:sz w:val="28"/>
          <w:szCs w:val="28"/>
        </w:rPr>
        <w:t xml:space="preserve">, 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uscito 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>per Laterza nella collana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dei Robinson per la serie “F</w:t>
      </w:r>
      <w:r w:rsidR="00E14D96" w:rsidRPr="00880E16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>ct Cheking”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4C1A1EA" w14:textId="77777777" w:rsidR="002B5E89" w:rsidRDefault="000E765C" w:rsidP="00880E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Si tratta di agili opere storiche, 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>ma anche pamphlet piuttosto incisivi e talvo</w:t>
      </w:r>
      <w:r w:rsidR="00E14D96" w:rsidRPr="00880E16">
        <w:rPr>
          <w:rFonts w:ascii="Times New Roman" w:hAnsi="Times New Roman" w:cs="Times New Roman"/>
          <w:color w:val="auto"/>
          <w:sz w:val="28"/>
          <w:szCs w:val="28"/>
        </w:rPr>
        <w:t>l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ta </w:t>
      </w:r>
      <w:r w:rsidR="00E14D96" w:rsidRPr="00880E16">
        <w:rPr>
          <w:rFonts w:ascii="Times New Roman" w:hAnsi="Times New Roman" w:cs="Times New Roman"/>
          <w:color w:val="auto"/>
          <w:sz w:val="28"/>
          <w:szCs w:val="28"/>
        </w:rPr>
        <w:t>molto polemici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Questo lo è in modo evidente, anche perché le tesi che contesta sono spesso al limite del ridicolo. E tuttavia esistono, non possono esse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r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e ridotte a una moda 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revisionistica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vecchia ormai di 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oltre 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>vent’anni, quando i protosovranisti del Sud si trovarono in qualche modo sulla stessa linea antiunita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r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>ia dei leghisti “secessionisti” del Nord</w:t>
      </w:r>
      <w:r w:rsidR="00880E16">
        <w:rPr>
          <w:rFonts w:ascii="Times New Roman" w:hAnsi="Times New Roman" w:cs="Times New Roman"/>
          <w:color w:val="auto"/>
          <w:sz w:val="28"/>
          <w:szCs w:val="28"/>
        </w:rPr>
        <w:t>. I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l fatto che ora 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>siano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preferiti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slogan come “P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r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>ima gli italiani” non cancella paradossalmente quest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o atteggiamento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che 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>si alimenta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nelle situazioni critiche del Mezzogiorno e in 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generale in </w:t>
      </w:r>
      <w:r w:rsidR="00EB3BBB" w:rsidRPr="00880E16">
        <w:rPr>
          <w:rFonts w:ascii="Times New Roman" w:hAnsi="Times New Roman" w:cs="Times New Roman"/>
          <w:color w:val="auto"/>
          <w:sz w:val="28"/>
          <w:szCs w:val="28"/>
        </w:rPr>
        <w:t>una irrazionale ricerca di un “nemico” esterno, oltre che immaginario, “per addebitargli – scrive Armino - tutto ciò che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siamo e non vorremmo essere”. </w:t>
      </w:r>
    </w:p>
    <w:p w14:paraId="236D7DA7" w14:textId="77777777" w:rsidR="002B5E89" w:rsidRDefault="00E14D96" w:rsidP="00880E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Le favole politiche sono sempre pericolose, e 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ciclicamente ritornano. </w:t>
      </w:r>
      <w:r w:rsidR="00880E16">
        <w:rPr>
          <w:rFonts w:ascii="Times New Roman" w:hAnsi="Times New Roman" w:cs="Times New Roman"/>
          <w:color w:val="auto"/>
          <w:sz w:val="28"/>
          <w:szCs w:val="28"/>
        </w:rPr>
        <w:t>L’autore di questo libro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, ingegnere e storico del Mezzogiorno, da tempo </w:t>
      </w:r>
      <w:r w:rsidR="00880E16">
        <w:rPr>
          <w:rFonts w:ascii="Times New Roman" w:hAnsi="Times New Roman" w:cs="Times New Roman"/>
          <w:color w:val="auto"/>
          <w:sz w:val="28"/>
          <w:szCs w:val="28"/>
        </w:rPr>
        <w:t xml:space="preserve">studia e 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>dedica pubblicazioni a</w:t>
      </w:r>
      <w:r w:rsidR="00880E16">
        <w:rPr>
          <w:rFonts w:ascii="Times New Roman" w:hAnsi="Times New Roman" w:cs="Times New Roman"/>
          <w:color w:val="auto"/>
          <w:sz w:val="28"/>
          <w:szCs w:val="28"/>
        </w:rPr>
        <w:t>ll’a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rgomento. Qui ne offre in qualche modo un </w:t>
      </w:r>
      <w:r w:rsidR="00880E16">
        <w:rPr>
          <w:rFonts w:ascii="Times New Roman" w:hAnsi="Times New Roman" w:cs="Times New Roman"/>
          <w:color w:val="auto"/>
          <w:sz w:val="28"/>
          <w:szCs w:val="28"/>
        </w:rPr>
        <w:t>r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iassunto, utilissimo perché si procede per </w:t>
      </w:r>
      <w:r w:rsidR="00880E16">
        <w:rPr>
          <w:rFonts w:ascii="Times New Roman" w:hAnsi="Times New Roman" w:cs="Times New Roman"/>
          <w:color w:val="auto"/>
          <w:sz w:val="28"/>
          <w:szCs w:val="28"/>
        </w:rPr>
        <w:t>temi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, individuando e smontando i capisaldi di </w:t>
      </w:r>
      <w:r w:rsidR="00880E16">
        <w:rPr>
          <w:rFonts w:ascii="Times New Roman" w:hAnsi="Times New Roman" w:cs="Times New Roman"/>
          <w:color w:val="auto"/>
          <w:sz w:val="28"/>
          <w:szCs w:val="28"/>
        </w:rPr>
        <w:t>una pubblicistica che ha visto anche testi di gande diffusione,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come quelli di Pino Aprile o di Lorenzo 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>D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el Boca, entrambi 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personaggi a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>t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>orevoli, uno a lungo direttore d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el settimanale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Oggi, l’altro pe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>r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anni presidente dell’ordin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 xml:space="preserve">nazionale </w:t>
      </w:r>
      <w:r w:rsidR="000E765C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dei giornalisti. 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>Uno degli a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r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gomenti di 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 xml:space="preserve">più 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>forte impatto è quello delle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 xml:space="preserve"> presunte 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>“fucilazioni di massa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”,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fra il 1861 e il ’71, anche se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come 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ammette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 xml:space="preserve">il solito 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>Ciano nessuna statistica fu data dai governi piemontesi. Per la verità, spiega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 xml:space="preserve"> Armino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>, non c’è uno straccio di prova o documento al proposito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; è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una fantasia. Allo stesso titolo, è stata già da tempo smontata (da Alessan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d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ro Barbero) la tesi altrettanto suggestiva secondo cui 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 xml:space="preserve">molti 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militari borbonici prigionieri morirono di stenti nel forte di </w:t>
      </w:r>
      <w:r w:rsidR="008E3611">
        <w:rPr>
          <w:rFonts w:ascii="Times New Roman" w:hAnsi="Times New Roman" w:cs="Times New Roman"/>
          <w:color w:val="auto"/>
          <w:sz w:val="28"/>
          <w:szCs w:val="28"/>
        </w:rPr>
        <w:t>Fenestrelle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, o quella 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>ancora che attribuisce il successo della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spedizione dei Mille 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un accordo con la mafia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sostenuta ad esempio da Del Boca in un libro di successo come </w:t>
      </w:r>
      <w:r w:rsidR="00964327" w:rsidRPr="002B5E89">
        <w:rPr>
          <w:rFonts w:ascii="Times New Roman" w:hAnsi="Times New Roman" w:cs="Times New Roman"/>
          <w:i/>
          <w:color w:val="auto"/>
          <w:sz w:val="28"/>
          <w:szCs w:val="28"/>
        </w:rPr>
        <w:t>Maledetti Savoia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, pur con la cautela di avvisare che 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 xml:space="preserve">al proposito </w:t>
      </w:r>
      <w:r w:rsidR="00964327" w:rsidRPr="00880E16">
        <w:rPr>
          <w:rFonts w:ascii="Times New Roman" w:hAnsi="Times New Roman" w:cs="Times New Roman"/>
          <w:color w:val="auto"/>
          <w:sz w:val="28"/>
          <w:szCs w:val="28"/>
        </w:rPr>
        <w:t>“non c’è troppa documentazione”.</w:t>
      </w:r>
    </w:p>
    <w:p w14:paraId="3A7A3BDF" w14:textId="77777777" w:rsidR="002B5E89" w:rsidRDefault="00964327" w:rsidP="00880E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Come fa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nno a saperle queste cose,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allora, si chiede beffardo Armino. 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>La risposta è che siamo in presenza della classica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teoria del complotto: i vincitori hanno cancellato l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>e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tracce delle lor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>o malefatte, gli storici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tutti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 xml:space="preserve">, da De Sanctis a 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Benedetto Croce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EE7D4B">
        <w:rPr>
          <w:rFonts w:ascii="Times New Roman" w:hAnsi="Times New Roman" w:cs="Times New Roman"/>
          <w:color w:val="auto"/>
          <w:sz w:val="28"/>
          <w:szCs w:val="28"/>
        </w:rPr>
        <w:t xml:space="preserve">da Rosario Romeo a </w:t>
      </w:r>
      <w:r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ci sono cascati o sono stati conniventi, 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>e la mancanza di documentazione ne sarebbe la prova. Un’altra t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si popolarissima (proposta 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 xml:space="preserve">questa 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da 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lastRenderedPageBreak/>
        <w:t>Aprile) è che “l’occupazione” del Sud e il relativo saccheggio provocarono un’emigrazione senza precedenti, anzi (tesi di</w:t>
      </w:r>
      <w:r w:rsidR="00880E16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Lino 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>Patruno</w:t>
      </w:r>
      <w:r w:rsidR="00880E16" w:rsidRPr="00880E16">
        <w:rPr>
          <w:rFonts w:ascii="Times New Roman" w:hAnsi="Times New Roman" w:cs="Times New Roman"/>
          <w:color w:val="auto"/>
          <w:sz w:val="28"/>
          <w:szCs w:val="28"/>
        </w:rPr>
        <w:t>, a lungo direttore della Gazzetta del Mezzogiorno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>), “fino al 1914 circa sei milioni di persone andarono via dal Sud, dirette so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prattutto nelle Americhe: un meridionale su tre”. Dati alla mano, Armino dimostra che non 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la realtà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fu ben diversa. Il primo c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>nsimento degli italiani all’est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e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ro, nel 1871, </w:t>
      </w:r>
      <w:r w:rsidR="008E3611">
        <w:rPr>
          <w:rFonts w:ascii="Times New Roman" w:hAnsi="Times New Roman" w:cs="Times New Roman"/>
          <w:color w:val="auto"/>
          <w:sz w:val="28"/>
          <w:szCs w:val="28"/>
        </w:rPr>
        <w:t>ne conta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370 mila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, di cui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il 75 per cento proveniva dal Nord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; i meridionali</w:t>
      </w:r>
      <w:r w:rsidR="00D6292A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erano 35 mil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>a, meno quindi del 10 per cento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. Spi</w:t>
      </w:r>
      <w:r w:rsidR="008E3611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>gendosi oltre, sii scopre che fino al 1914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“erano emigrati dal Sud 5 mi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softHyphen/>
        <w:t xml:space="preserve">lioni e mezzo di persone contro gli 8 milioni e mezzo del Centro-Nord”. Il Risorgimento era </w:t>
      </w:r>
      <w:r w:rsidR="002B5E89">
        <w:rPr>
          <w:rFonts w:ascii="Times New Roman" w:hAnsi="Times New Roman" w:cs="Times New Roman"/>
          <w:color w:val="auto"/>
          <w:sz w:val="28"/>
          <w:szCs w:val="28"/>
        </w:rPr>
        <w:t xml:space="preserve">orami 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lontano, le politiche unitarie erano di volta in volta cambiate, il divario tra Nord e Sud certo restava, ma aveva altre cause (che la storiografia ha peraltro ampiamente analizzato). </w:t>
      </w:r>
    </w:p>
    <w:p w14:paraId="7E57A96F" w14:textId="77777777" w:rsidR="00171903" w:rsidRPr="00880E16" w:rsidRDefault="002B5E89" w:rsidP="00880E16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Gli esempi potrebbero essere ancora tanti</w:t>
      </w:r>
      <w:r w:rsidR="00B60AB4">
        <w:rPr>
          <w:rFonts w:ascii="Times New Roman" w:hAnsi="Times New Roman" w:cs="Times New Roman"/>
          <w:color w:val="auto"/>
          <w:sz w:val="28"/>
          <w:szCs w:val="28"/>
        </w:rPr>
        <w:t>;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60AB4">
        <w:rPr>
          <w:rFonts w:ascii="Times New Roman" w:hAnsi="Times New Roman" w:cs="Times New Roman"/>
          <w:color w:val="auto"/>
          <w:sz w:val="28"/>
          <w:szCs w:val="28"/>
        </w:rPr>
        <w:t>ad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esempio</w:t>
      </w:r>
      <w:r w:rsidR="00B60AB4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per quanto </w:t>
      </w:r>
      <w:r w:rsidR="00B60AB4">
        <w:rPr>
          <w:rFonts w:ascii="Times New Roman" w:hAnsi="Times New Roman" w:cs="Times New Roman"/>
          <w:color w:val="auto"/>
          <w:sz w:val="28"/>
          <w:szCs w:val="28"/>
        </w:rPr>
        <w:t>riguardo il brigantaggio, l’acrobatico paragone con la</w:t>
      </w:r>
      <w:r w:rsidR="00B60AB4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Resistenza</w:t>
      </w:r>
      <w:r w:rsidR="00B60AB4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B60AB4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ma anche in un caso, paradossalmente perché in senso positivo, alla Repubblica di Salò</w:t>
      </w:r>
      <w:r w:rsidR="00B60AB4">
        <w:rPr>
          <w:rFonts w:ascii="Times New Roman" w:hAnsi="Times New Roman" w:cs="Times New Roman"/>
          <w:color w:val="auto"/>
          <w:sz w:val="28"/>
          <w:szCs w:val="28"/>
        </w:rPr>
        <w:t>. Ma pur con tutte le possibili varianti o contraddizioni, il quadro complessivo, la g</w:t>
      </w:r>
      <w:r w:rsidR="008E3611">
        <w:rPr>
          <w:rFonts w:ascii="Times New Roman" w:hAnsi="Times New Roman" w:cs="Times New Roman"/>
          <w:color w:val="auto"/>
          <w:sz w:val="28"/>
          <w:szCs w:val="28"/>
        </w:rPr>
        <w:t>r</w:t>
      </w:r>
      <w:r w:rsidR="00B60AB4">
        <w:rPr>
          <w:rFonts w:ascii="Times New Roman" w:hAnsi="Times New Roman" w:cs="Times New Roman"/>
          <w:color w:val="auto"/>
          <w:sz w:val="28"/>
          <w:szCs w:val="28"/>
        </w:rPr>
        <w:t>ane favola è quella del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Regno </w:t>
      </w:r>
      <w:r>
        <w:rPr>
          <w:rFonts w:ascii="Times New Roman" w:hAnsi="Times New Roman" w:cs="Times New Roman"/>
          <w:color w:val="auto"/>
          <w:sz w:val="28"/>
          <w:szCs w:val="28"/>
        </w:rPr>
        <w:t>borbone come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paradiso perduto, paese del bengodi ricco e civile. </w:t>
      </w:r>
      <w:r w:rsidR="008E3611">
        <w:rPr>
          <w:rFonts w:ascii="Times New Roman" w:hAnsi="Times New Roman" w:cs="Times New Roman"/>
          <w:color w:val="auto"/>
          <w:sz w:val="28"/>
          <w:szCs w:val="28"/>
        </w:rPr>
        <w:t>Una favola ormai inutile? O una tesi generale, con tutte le sue sottotesi, da smontare pezzo per pezzo e non solo come esercizio accademico? Armino sceglie decisamente la seconda opzione. E ci ricorda come il Regno delle due Sicilie fosse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in realtà uno stato assolutista e feroce, piagato dall’analfabetismo e dalla mancanza di investimenti e strutt</w:t>
      </w:r>
      <w:r w:rsidR="00880E16" w:rsidRPr="00880E16">
        <w:rPr>
          <w:rFonts w:ascii="Times New Roman" w:hAnsi="Times New Roman" w:cs="Times New Roman"/>
          <w:color w:val="auto"/>
          <w:sz w:val="28"/>
          <w:szCs w:val="28"/>
        </w:rPr>
        <w:t>u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>re logistiche, con quel poco di istruzione in mano a</w:t>
      </w:r>
      <w:r w:rsidR="008E3611">
        <w:rPr>
          <w:rFonts w:ascii="Times New Roman" w:hAnsi="Times New Roman" w:cs="Times New Roman"/>
          <w:color w:val="auto"/>
          <w:sz w:val="28"/>
          <w:szCs w:val="28"/>
        </w:rPr>
        <w:t xml:space="preserve"> una Chiesa oscurantista. Gli argomenti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d</w:t>
      </w:r>
      <w:r w:rsidR="008E3611">
        <w:rPr>
          <w:rFonts w:ascii="Times New Roman" w:hAnsi="Times New Roman" w:cs="Times New Roman"/>
          <w:color w:val="auto"/>
          <w:sz w:val="28"/>
          <w:szCs w:val="28"/>
        </w:rPr>
        <w:t>ello storico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="008E3611">
        <w:rPr>
          <w:rFonts w:ascii="Times New Roman" w:hAnsi="Times New Roman" w:cs="Times New Roman"/>
          <w:color w:val="auto"/>
          <w:sz w:val="28"/>
          <w:szCs w:val="28"/>
        </w:rPr>
        <w:t>inarrestabile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nella sua serie di puntualizzazioni – sono innumerevoli. </w:t>
      </w:r>
      <w:r w:rsidR="00880E16" w:rsidRPr="00880E16">
        <w:rPr>
          <w:rFonts w:ascii="Times New Roman" w:hAnsi="Times New Roman" w:cs="Times New Roman"/>
          <w:color w:val="auto"/>
          <w:sz w:val="28"/>
          <w:szCs w:val="28"/>
        </w:rPr>
        <w:t>Ci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ricorda </w:t>
      </w:r>
      <w:r w:rsidR="00880E16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ad esempio 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>che dopo la capitolazione di Capua e la resa di Gaeta si dispose un sussidio per i sold</w:t>
      </w:r>
      <w:r w:rsidR="00880E16" w:rsidRPr="00880E16">
        <w:rPr>
          <w:rFonts w:ascii="Times New Roman" w:hAnsi="Times New Roman" w:cs="Times New Roman"/>
          <w:color w:val="auto"/>
          <w:sz w:val="28"/>
          <w:szCs w:val="28"/>
        </w:rPr>
        <w:t>a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>ti borbonici, le pensioni vennero pagate alle mogli o alle vedove.</w:t>
      </w:r>
      <w:r w:rsidR="00880E16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>Il registro delle fi</w:t>
      </w:r>
      <w:r w:rsidR="00880E16" w:rsidRPr="00880E16">
        <w:rPr>
          <w:rFonts w:ascii="Times New Roman" w:hAnsi="Times New Roman" w:cs="Times New Roman"/>
          <w:color w:val="auto"/>
          <w:sz w:val="28"/>
          <w:szCs w:val="28"/>
        </w:rPr>
        <w:t>r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me testimonia che “non solo tutte le mogli dei soldati, ma ben oltre la metà delle mogli degli ufficiali erano analfabete”. Leggere, del resto, non era del tutto consigliabile: </w:t>
      </w:r>
      <w:r w:rsidR="00880E16" w:rsidRPr="00880E16">
        <w:rPr>
          <w:rFonts w:ascii="Times New Roman" w:hAnsi="Times New Roman" w:cs="Times New Roman"/>
          <w:color w:val="auto"/>
          <w:sz w:val="28"/>
          <w:szCs w:val="28"/>
        </w:rPr>
        <w:t>n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el 1856 un barbiere di Reggio Calabria, Pietro Merlino, venne multato perché nel suo salone c’era un libro contrario alla religione e al buon costume: i </w:t>
      </w:r>
      <w:r w:rsidR="00171903" w:rsidRPr="00880E16">
        <w:rPr>
          <w:rFonts w:ascii="Times New Roman" w:hAnsi="Times New Roman" w:cs="Times New Roman"/>
          <w:i/>
          <w:color w:val="auto"/>
          <w:sz w:val="28"/>
          <w:szCs w:val="28"/>
        </w:rPr>
        <w:t>Canti</w:t>
      </w:r>
      <w:r w:rsidR="00171903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di Giacomo Leopardi.</w:t>
      </w:r>
      <w:r w:rsidR="00880E16" w:rsidRPr="00880E1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0BF5D9" w14:textId="77777777" w:rsidR="00171903" w:rsidRDefault="00171903" w:rsidP="00171903">
      <w:pPr>
        <w:pStyle w:val="NormaleWeb"/>
        <w:shd w:val="clear" w:color="auto" w:fill="FFFFFF"/>
        <w:rPr>
          <w:rFonts w:ascii="Segoe UI" w:hAnsi="Segoe UI" w:cs="Segoe UI"/>
          <w:color w:val="201F1E"/>
          <w:sz w:val="23"/>
          <w:szCs w:val="23"/>
        </w:rPr>
      </w:pPr>
    </w:p>
    <w:p w14:paraId="3AFF3858" w14:textId="77777777" w:rsidR="006050F2" w:rsidRDefault="006050F2"/>
    <w:sectPr w:rsidR="006050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 Garamond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 Std Book">
    <w:altName w:val="Bodoni Std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44"/>
    <w:rsid w:val="000A73E7"/>
    <w:rsid w:val="000E765C"/>
    <w:rsid w:val="00171903"/>
    <w:rsid w:val="002B5E89"/>
    <w:rsid w:val="00472344"/>
    <w:rsid w:val="006050F2"/>
    <w:rsid w:val="00627249"/>
    <w:rsid w:val="007141EB"/>
    <w:rsid w:val="007C1848"/>
    <w:rsid w:val="00880E16"/>
    <w:rsid w:val="008E3611"/>
    <w:rsid w:val="00964327"/>
    <w:rsid w:val="00B60AB4"/>
    <w:rsid w:val="00CF362F"/>
    <w:rsid w:val="00D6292A"/>
    <w:rsid w:val="00E14D96"/>
    <w:rsid w:val="00EB3BBB"/>
    <w:rsid w:val="00EE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85D9"/>
  <w15:chartTrackingRefBased/>
  <w15:docId w15:val="{04F7F4AE-7A88-47DA-881E-19EC3ECE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7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7C1848"/>
    <w:pPr>
      <w:autoSpaceDE w:val="0"/>
      <w:autoSpaceDN w:val="0"/>
      <w:adjustRightInd w:val="0"/>
      <w:spacing w:after="0" w:line="240" w:lineRule="auto"/>
    </w:pPr>
    <w:rPr>
      <w:rFonts w:ascii="Simoncini Garamond Std" w:hAnsi="Simoncini Garamond Std" w:cs="Simoncini Garamond Std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7C1848"/>
    <w:pPr>
      <w:spacing w:line="241" w:lineRule="atLeast"/>
    </w:pPr>
    <w:rPr>
      <w:rFonts w:ascii="Bodoni Std Book" w:hAnsi="Bodoni Std Book" w:cstheme="minorBidi"/>
      <w:color w:val="auto"/>
    </w:rPr>
  </w:style>
  <w:style w:type="character" w:customStyle="1" w:styleId="A6">
    <w:name w:val="A6"/>
    <w:uiPriority w:val="99"/>
    <w:rsid w:val="007C1848"/>
    <w:rPr>
      <w:rFonts w:cs="Bodoni Std Book"/>
      <w:color w:val="211D1E"/>
      <w:sz w:val="48"/>
      <w:szCs w:val="48"/>
    </w:rPr>
  </w:style>
  <w:style w:type="character" w:customStyle="1" w:styleId="A7">
    <w:name w:val="A7"/>
    <w:uiPriority w:val="99"/>
    <w:rsid w:val="007C1848"/>
    <w:rPr>
      <w:rFonts w:cs="Bodoni Std Book"/>
      <w:color w:val="211D1E"/>
      <w:sz w:val="32"/>
      <w:szCs w:val="32"/>
    </w:rPr>
  </w:style>
  <w:style w:type="paragraph" w:customStyle="1" w:styleId="Pa5">
    <w:name w:val="Pa5"/>
    <w:basedOn w:val="Default"/>
    <w:next w:val="Default"/>
    <w:uiPriority w:val="99"/>
    <w:rsid w:val="00D6292A"/>
    <w:pPr>
      <w:spacing w:line="23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171903"/>
    <w:pPr>
      <w:spacing w:line="23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891</Words>
  <Characters>5082</Characters>
  <Application>Microsoft Office Word</Application>
  <DocSecurity>4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Baudino</dc:creator>
  <cp:keywords/>
  <dc:description/>
  <cp:lastModifiedBy>Imma Esposito - Gius. Laterza &amp; Figli SpA -</cp:lastModifiedBy>
  <cp:revision>2</cp:revision>
  <dcterms:created xsi:type="dcterms:W3CDTF">2021-07-02T11:00:00Z</dcterms:created>
  <dcterms:modified xsi:type="dcterms:W3CDTF">2021-07-02T11:00:00Z</dcterms:modified>
</cp:coreProperties>
</file>